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1B04D" w14:textId="77777777" w:rsidR="00A40D60" w:rsidRPr="004C77C2" w:rsidRDefault="00A40D60" w:rsidP="00A40D60">
      <w:pPr>
        <w:pStyle w:val="Ttulo2"/>
        <w:jc w:val="center"/>
        <w:rPr>
          <w:rFonts w:cs="Arial"/>
          <w:sz w:val="28"/>
          <w:szCs w:val="28"/>
        </w:rPr>
      </w:pPr>
      <w:bookmarkStart w:id="0" w:name="_Toc214962611"/>
      <w:bookmarkStart w:id="1" w:name="_Toc260389484"/>
      <w:bookmarkStart w:id="2" w:name="_Toc527619984"/>
      <w:r w:rsidRPr="00B37C7E">
        <w:rPr>
          <w:rFonts w:cs="Arial"/>
          <w:sz w:val="28"/>
          <w:szCs w:val="28"/>
        </w:rPr>
        <w:t>RESUMEN EJECUTIVO</w:t>
      </w:r>
      <w:bookmarkEnd w:id="0"/>
      <w:bookmarkEnd w:id="1"/>
      <w:bookmarkEnd w:id="2"/>
    </w:p>
    <w:p w14:paraId="68453A09" w14:textId="77777777" w:rsidR="00A40D60" w:rsidRDefault="00A40D60" w:rsidP="00A40D60">
      <w:pPr>
        <w:pStyle w:val="Sangradetextonormal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5835BA4" w14:textId="77777777" w:rsidR="00E83793" w:rsidRPr="004C4A61" w:rsidRDefault="00E83793" w:rsidP="00E8379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B5F7B72" w14:textId="482136C1" w:rsidR="00E83793" w:rsidRPr="00E83793" w:rsidRDefault="00E83793" w:rsidP="00E83793">
      <w:pPr>
        <w:spacing w:line="360" w:lineRule="atLeast"/>
        <w:jc w:val="both"/>
        <w:rPr>
          <w:rFonts w:ascii="Arial Narrow" w:hAnsi="Arial Narrow" w:cs="Arial"/>
          <w:iCs/>
          <w:sz w:val="28"/>
          <w:szCs w:val="28"/>
        </w:rPr>
      </w:pPr>
      <w:r w:rsidRPr="00E83793">
        <w:rPr>
          <w:rFonts w:ascii="Arial Narrow" w:hAnsi="Arial Narrow" w:cs="Arial"/>
          <w:sz w:val="28"/>
          <w:szCs w:val="28"/>
        </w:rPr>
        <w:t xml:space="preserve">La Auditoría de </w:t>
      </w:r>
      <w:r>
        <w:rPr>
          <w:rFonts w:ascii="Arial Narrow" w:hAnsi="Arial Narrow" w:cs="Arial"/>
          <w:sz w:val="28"/>
          <w:szCs w:val="28"/>
        </w:rPr>
        <w:t>c</w:t>
      </w:r>
      <w:r w:rsidRPr="00E83793">
        <w:rPr>
          <w:rFonts w:ascii="Arial Narrow" w:hAnsi="Arial Narrow" w:cs="Arial"/>
          <w:sz w:val="28"/>
          <w:szCs w:val="28"/>
        </w:rPr>
        <w:t xml:space="preserve">arácter </w:t>
      </w:r>
      <w:r>
        <w:rPr>
          <w:rFonts w:ascii="Arial Narrow" w:hAnsi="Arial Narrow" w:cs="Arial"/>
          <w:sz w:val="28"/>
          <w:szCs w:val="28"/>
        </w:rPr>
        <w:t>e</w:t>
      </w:r>
      <w:r w:rsidRPr="00E83793">
        <w:rPr>
          <w:rFonts w:ascii="Arial Narrow" w:hAnsi="Arial Narrow" w:cs="Arial"/>
          <w:sz w:val="28"/>
          <w:szCs w:val="28"/>
        </w:rPr>
        <w:t xml:space="preserve">special que origina el presente informe se realizó con el objetivo de </w:t>
      </w:r>
      <w:r w:rsidRPr="00E83793">
        <w:rPr>
          <w:rFonts w:ascii="Arial Narrow" w:hAnsi="Arial Narrow" w:cs="Arial"/>
          <w:iCs/>
          <w:sz w:val="28"/>
          <w:szCs w:val="28"/>
          <w:lang w:val="es-ES"/>
        </w:rPr>
        <w:t xml:space="preserve">evaluar los concursos de reclutamiento y selección de personal gestionados por la Sección de Recursos Humanos de CONAPE del 01 de enero de 2019 al 05 de marzo de 2020, para determinar el </w:t>
      </w:r>
      <w:r w:rsidRPr="00E83793">
        <w:rPr>
          <w:rFonts w:ascii="Arial Narrow" w:hAnsi="Arial Narrow" w:cs="Arial"/>
          <w:iCs/>
          <w:sz w:val="28"/>
          <w:szCs w:val="28"/>
        </w:rPr>
        <w:t>cumplimiento del marco legal que rige la materia y el proceso asociado. Adicionalmente el alcance se amplió con la revisión del concurso No. 28-2018, por su vinculación con el concurso externo No.01-2019.</w:t>
      </w:r>
    </w:p>
    <w:p w14:paraId="5648CAF4" w14:textId="77777777" w:rsidR="00E83793" w:rsidRPr="00E83793" w:rsidRDefault="00E83793" w:rsidP="00E83793">
      <w:pPr>
        <w:spacing w:line="360" w:lineRule="atLeast"/>
        <w:jc w:val="both"/>
        <w:rPr>
          <w:rFonts w:ascii="Arial Narrow" w:hAnsi="Arial Narrow" w:cs="Arial"/>
          <w:iCs/>
          <w:sz w:val="28"/>
          <w:szCs w:val="28"/>
          <w:lang w:val="es-ES"/>
        </w:rPr>
      </w:pPr>
    </w:p>
    <w:p w14:paraId="690F8839" w14:textId="47888F96" w:rsidR="00E83793" w:rsidRPr="00E83793" w:rsidRDefault="00E83793" w:rsidP="00E83793">
      <w:pPr>
        <w:autoSpaceDE w:val="0"/>
        <w:autoSpaceDN w:val="0"/>
        <w:adjustRightInd w:val="0"/>
        <w:spacing w:line="360" w:lineRule="atLeast"/>
        <w:jc w:val="both"/>
        <w:rPr>
          <w:rFonts w:ascii="Arial Narrow" w:hAnsi="Arial Narrow" w:cs="Arial"/>
          <w:iCs/>
          <w:sz w:val="28"/>
          <w:szCs w:val="28"/>
          <w:lang w:val="es-ES"/>
        </w:rPr>
      </w:pPr>
      <w:r w:rsidRPr="00E83793">
        <w:rPr>
          <w:rFonts w:ascii="Arial Narrow" w:hAnsi="Arial Narrow" w:cs="Arial"/>
          <w:iCs/>
          <w:sz w:val="28"/>
          <w:szCs w:val="28"/>
          <w:lang w:val="es-ES"/>
        </w:rPr>
        <w:t xml:space="preserve">Se verificó prioritariamente la documentación contenida de los expedientes de los concursos de personal físicos bajo custodia de la Sección de Recursos Humanos, se requirió y obtuvo información pertinente de diversas áreas a saber: internamente Sección de Recursos Humanos, Asesoría Legal, Contratación Administrativa, Archivo Institucional, Gestoría de Procesos, entre otros y externamente de TIMS </w:t>
      </w:r>
      <w:proofErr w:type="spellStart"/>
      <w:r w:rsidRPr="00E83793">
        <w:rPr>
          <w:rFonts w:ascii="Arial Narrow" w:hAnsi="Arial Narrow" w:cs="Arial"/>
          <w:iCs/>
          <w:sz w:val="28"/>
          <w:szCs w:val="28"/>
          <w:lang w:val="es-ES"/>
        </w:rPr>
        <w:t>Assessment</w:t>
      </w:r>
      <w:proofErr w:type="spellEnd"/>
      <w:r w:rsidRPr="00E83793">
        <w:rPr>
          <w:rFonts w:ascii="Arial Narrow" w:hAnsi="Arial Narrow" w:cs="Arial"/>
          <w:iCs/>
          <w:sz w:val="28"/>
          <w:szCs w:val="28"/>
          <w:lang w:val="es-ES"/>
        </w:rPr>
        <w:t xml:space="preserve"> </w:t>
      </w:r>
      <w:proofErr w:type="spellStart"/>
      <w:r w:rsidRPr="00E83793">
        <w:rPr>
          <w:rFonts w:ascii="Arial Narrow" w:hAnsi="Arial Narrow" w:cs="Arial"/>
          <w:iCs/>
          <w:sz w:val="28"/>
          <w:szCs w:val="28"/>
          <w:lang w:val="es-ES"/>
        </w:rPr>
        <w:t>Group</w:t>
      </w:r>
      <w:proofErr w:type="spellEnd"/>
      <w:r w:rsidRPr="00E83793">
        <w:rPr>
          <w:rFonts w:ascii="Arial Narrow" w:hAnsi="Arial Narrow" w:cs="Arial"/>
          <w:iCs/>
          <w:sz w:val="28"/>
          <w:szCs w:val="28"/>
          <w:lang w:val="es-ES"/>
        </w:rPr>
        <w:t xml:space="preserve"> y del Despacho Pragma Legal.</w:t>
      </w:r>
    </w:p>
    <w:p w14:paraId="5CF947C8" w14:textId="77777777" w:rsidR="00E83793" w:rsidRPr="00E83793" w:rsidRDefault="00E83793" w:rsidP="00E83793">
      <w:pPr>
        <w:autoSpaceDE w:val="0"/>
        <w:autoSpaceDN w:val="0"/>
        <w:adjustRightInd w:val="0"/>
        <w:spacing w:line="360" w:lineRule="atLeast"/>
        <w:jc w:val="both"/>
        <w:rPr>
          <w:rFonts w:ascii="Arial Narrow" w:hAnsi="Arial Narrow" w:cs="Arial"/>
          <w:sz w:val="28"/>
          <w:szCs w:val="28"/>
          <w:highlight w:val="lightGray"/>
        </w:rPr>
      </w:pPr>
    </w:p>
    <w:p w14:paraId="13E9DB4F" w14:textId="74C2FF48" w:rsidR="00E83793" w:rsidRPr="00E83793" w:rsidRDefault="00E83793" w:rsidP="00E83793">
      <w:pPr>
        <w:autoSpaceDE w:val="0"/>
        <w:autoSpaceDN w:val="0"/>
        <w:adjustRightInd w:val="0"/>
        <w:spacing w:line="360" w:lineRule="atLeast"/>
        <w:jc w:val="both"/>
        <w:rPr>
          <w:rFonts w:ascii="Arial Narrow" w:hAnsi="Arial Narrow" w:cs="Arial"/>
          <w:sz w:val="28"/>
          <w:szCs w:val="28"/>
        </w:rPr>
      </w:pPr>
      <w:r w:rsidRPr="00E83793">
        <w:rPr>
          <w:rFonts w:ascii="Arial Narrow" w:hAnsi="Arial Narrow" w:cs="Arial"/>
          <w:sz w:val="28"/>
          <w:szCs w:val="28"/>
        </w:rPr>
        <w:t xml:space="preserve">Los concursos en el Sector Público son el mecanismo de nombramiento de personal que deben garantizar la idoneidad funcional del postulante, como principio </w:t>
      </w:r>
      <w:r>
        <w:rPr>
          <w:rFonts w:ascii="Arial Narrow" w:hAnsi="Arial Narrow" w:cs="Arial"/>
          <w:sz w:val="28"/>
          <w:szCs w:val="28"/>
        </w:rPr>
        <w:t>c</w:t>
      </w:r>
      <w:r w:rsidRPr="00E83793">
        <w:rPr>
          <w:rFonts w:ascii="Arial Narrow" w:hAnsi="Arial Narrow" w:cs="Arial"/>
          <w:sz w:val="28"/>
          <w:szCs w:val="28"/>
        </w:rPr>
        <w:t>onstitucional, de ahí la importancia de determinar si en CONAPE el mismo es de aplicación bajo un esquema de objetividad, transparencia, uniformidad y credibilidad</w:t>
      </w:r>
      <w:r>
        <w:rPr>
          <w:rFonts w:ascii="Arial Narrow" w:hAnsi="Arial Narrow" w:cs="Arial"/>
          <w:sz w:val="28"/>
          <w:szCs w:val="28"/>
        </w:rPr>
        <w:t>, m</w:t>
      </w:r>
      <w:r w:rsidRPr="00E83793">
        <w:rPr>
          <w:rFonts w:ascii="Arial Narrow" w:hAnsi="Arial Narrow" w:cs="Arial"/>
          <w:sz w:val="28"/>
          <w:szCs w:val="28"/>
        </w:rPr>
        <w:t xml:space="preserve">ismos que están siendo limitados ante falta de un marco normativo integral, claro, completo, uniforme, actualizado, que esté congruente con el proceso oficial definido y ejecutado y que limite su interpretación y modificación constante. </w:t>
      </w:r>
    </w:p>
    <w:p w14:paraId="086FCA4F" w14:textId="77777777" w:rsidR="00E83793" w:rsidRPr="00E83793" w:rsidRDefault="00E83793" w:rsidP="00E83793">
      <w:pPr>
        <w:autoSpaceDE w:val="0"/>
        <w:autoSpaceDN w:val="0"/>
        <w:adjustRightInd w:val="0"/>
        <w:spacing w:line="360" w:lineRule="atLeast"/>
        <w:jc w:val="both"/>
        <w:rPr>
          <w:rFonts w:ascii="Arial Narrow" w:hAnsi="Arial Narrow" w:cs="Arial"/>
          <w:sz w:val="28"/>
          <w:szCs w:val="28"/>
        </w:rPr>
      </w:pPr>
    </w:p>
    <w:p w14:paraId="0D8F2F0F" w14:textId="43B0FC23" w:rsidR="00E83793" w:rsidRPr="00E83793" w:rsidRDefault="00E83793" w:rsidP="00E83793">
      <w:pPr>
        <w:autoSpaceDE w:val="0"/>
        <w:autoSpaceDN w:val="0"/>
        <w:adjustRightInd w:val="0"/>
        <w:spacing w:line="360" w:lineRule="atLeast"/>
        <w:jc w:val="both"/>
        <w:rPr>
          <w:rFonts w:ascii="Arial Narrow" w:hAnsi="Arial Narrow" w:cs="Arial"/>
          <w:sz w:val="28"/>
          <w:szCs w:val="28"/>
        </w:rPr>
      </w:pPr>
      <w:r w:rsidRPr="00E83793">
        <w:rPr>
          <w:rFonts w:ascii="Arial Narrow" w:hAnsi="Arial Narrow" w:cs="Arial"/>
          <w:sz w:val="28"/>
          <w:szCs w:val="28"/>
        </w:rPr>
        <w:t>Así mismo, conforme al SEVRI y Plan Estratégico Institucional 2019-2023, es visible la falta de priorización de este proceso en ambos, lo que lo hace aún más vulnerable.</w:t>
      </w:r>
    </w:p>
    <w:p w14:paraId="77C59078" w14:textId="77777777" w:rsidR="00E83793" w:rsidRPr="00E83793" w:rsidRDefault="00E83793" w:rsidP="00E83793">
      <w:pPr>
        <w:autoSpaceDE w:val="0"/>
        <w:autoSpaceDN w:val="0"/>
        <w:adjustRightInd w:val="0"/>
        <w:spacing w:line="360" w:lineRule="atLeast"/>
        <w:jc w:val="both"/>
        <w:rPr>
          <w:rFonts w:ascii="Arial Narrow" w:hAnsi="Arial Narrow" w:cs="Arial"/>
          <w:sz w:val="28"/>
          <w:szCs w:val="28"/>
        </w:rPr>
      </w:pPr>
    </w:p>
    <w:p w14:paraId="490CFF42" w14:textId="77777777" w:rsidR="00E83793" w:rsidRPr="00E83793" w:rsidRDefault="00E83793" w:rsidP="00E83793">
      <w:pPr>
        <w:spacing w:line="360" w:lineRule="atLeast"/>
        <w:jc w:val="both"/>
        <w:rPr>
          <w:sz w:val="28"/>
          <w:szCs w:val="28"/>
        </w:rPr>
      </w:pPr>
      <w:r w:rsidRPr="00E83793">
        <w:rPr>
          <w:rFonts w:ascii="Arial Narrow" w:hAnsi="Arial Narrow" w:cs="Arial"/>
          <w:sz w:val="28"/>
          <w:szCs w:val="28"/>
        </w:rPr>
        <w:t xml:space="preserve">Se recomienda a los miembros del Consejo Directivo de CONAPE, la intervención inmediata al proceso de Reclutamiento y Selección de Personal de la Institución, para que cuente con la normativa y la definición de un proceso con procedimientos actualizados y oficiales, que garantice el principio constitucional de idoneidad del </w:t>
      </w:r>
      <w:r w:rsidRPr="00E83793">
        <w:rPr>
          <w:rFonts w:ascii="Arial Narrow" w:hAnsi="Arial Narrow" w:cs="Arial"/>
          <w:sz w:val="28"/>
          <w:szCs w:val="28"/>
        </w:rPr>
        <w:lastRenderedPageBreak/>
        <w:t>personal contratado y a cabalidad con la óptica de objetividad, transparencia, uniformidad y credibilidad necesarios en toda actividad que se realice. Así mismo se recomienda la valoración de posibles responsabilidades administrativas ante los hallazgos determinados.</w:t>
      </w:r>
    </w:p>
    <w:p w14:paraId="42D050B9" w14:textId="77777777" w:rsidR="00A40D60" w:rsidRPr="00E83793" w:rsidRDefault="00A40D60" w:rsidP="00E83793">
      <w:pPr>
        <w:pStyle w:val="Sangradetextonormal"/>
        <w:spacing w:after="0" w:line="360" w:lineRule="atLeast"/>
        <w:ind w:left="0"/>
        <w:jc w:val="both"/>
        <w:rPr>
          <w:rFonts w:ascii="Arial" w:hAnsi="Arial" w:cs="Arial"/>
          <w:sz w:val="28"/>
          <w:szCs w:val="28"/>
        </w:rPr>
      </w:pPr>
    </w:p>
    <w:p w14:paraId="7E87C3F0" w14:textId="7D09005B" w:rsidR="00E62479" w:rsidRPr="00980A81" w:rsidRDefault="0088791F" w:rsidP="00E83793">
      <w:pPr>
        <w:spacing w:line="360" w:lineRule="atLeast"/>
        <w:jc w:val="both"/>
        <w:rPr>
          <w:rFonts w:ascii="Arial Narrow" w:hAnsi="Arial Narrow"/>
          <w:sz w:val="28"/>
          <w:szCs w:val="28"/>
        </w:rPr>
      </w:pPr>
      <w:sdt>
        <w:sdtPr>
          <w:rPr>
            <w:rFonts w:asciiTheme="majorHAnsi" w:hAnsiTheme="majorHAnsi"/>
            <w:b/>
            <w:caps/>
            <w:color w:val="1F3864" w:themeColor="accent5" w:themeShade="80"/>
            <w:sz w:val="36"/>
            <w:szCs w:val="28"/>
          </w:rPr>
          <w:alias w:val="Subtítulo"/>
          <w:tag w:val=""/>
          <w:id w:val="1184092316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C65D0">
            <w:rPr>
              <w:rFonts w:asciiTheme="majorHAnsi" w:hAnsiTheme="majorHAnsi"/>
              <w:b/>
              <w:caps/>
              <w:color w:val="1F3864" w:themeColor="accent5" w:themeShade="80"/>
              <w:sz w:val="36"/>
              <w:szCs w:val="28"/>
            </w:rPr>
            <w:t xml:space="preserve">     </w:t>
          </w:r>
        </w:sdtContent>
      </w:sdt>
    </w:p>
    <w:p w14:paraId="3974DB6E" w14:textId="77777777" w:rsidR="007C65D0" w:rsidRPr="007C65D0" w:rsidRDefault="007C65D0" w:rsidP="00E62479">
      <w:pPr>
        <w:spacing w:line="360" w:lineRule="atLeast"/>
        <w:jc w:val="both"/>
        <w:rPr>
          <w:color w:val="1F3864" w:themeColor="accent5" w:themeShade="80"/>
          <w:sz w:val="28"/>
          <w:szCs w:val="28"/>
        </w:rPr>
      </w:pPr>
    </w:p>
    <w:p w14:paraId="5312CD92" w14:textId="77777777" w:rsidR="00DB1B6D" w:rsidRPr="007C65D0" w:rsidRDefault="0088791F" w:rsidP="007C65D0">
      <w:pPr>
        <w:spacing w:line="360" w:lineRule="atLeast"/>
        <w:jc w:val="both"/>
        <w:rPr>
          <w:sz w:val="28"/>
          <w:szCs w:val="28"/>
        </w:rPr>
      </w:pPr>
    </w:p>
    <w:sectPr w:rsidR="00DB1B6D" w:rsidRPr="007C65D0" w:rsidSect="00A76607">
      <w:headerReference w:type="default" r:id="rId6"/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84FC1" w14:textId="77777777" w:rsidR="0088791F" w:rsidRDefault="0088791F" w:rsidP="00A40D60">
      <w:r>
        <w:separator/>
      </w:r>
    </w:p>
  </w:endnote>
  <w:endnote w:type="continuationSeparator" w:id="0">
    <w:p w14:paraId="272C8636" w14:textId="77777777" w:rsidR="0088791F" w:rsidRDefault="0088791F" w:rsidP="00A4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6677437"/>
      <w:docPartObj>
        <w:docPartGallery w:val="Page Numbers (Bottom of Page)"/>
        <w:docPartUnique/>
      </w:docPartObj>
    </w:sdtPr>
    <w:sdtEndPr/>
    <w:sdtContent>
      <w:sdt>
        <w:sdtPr>
          <w:id w:val="-942451672"/>
          <w:docPartObj>
            <w:docPartGallery w:val="Page Numbers (Top of Page)"/>
            <w:docPartUnique/>
          </w:docPartObj>
        </w:sdtPr>
        <w:sdtEndPr/>
        <w:sdtContent>
          <w:p w14:paraId="194C7343" w14:textId="77777777" w:rsidR="00A40D60" w:rsidRDefault="00A40D60" w:rsidP="00A40D60">
            <w:pPr>
              <w:pStyle w:val="Piedepgina"/>
              <w:jc w:val="right"/>
            </w:pPr>
            <w:r>
              <w:rPr>
                <w:noProof/>
                <w:color w:val="5B9BD5" w:themeColor="accent1"/>
                <w:lang w:eastAsia="es-CR"/>
              </w:rPr>
              <mc:AlternateContent>
                <mc:Choice Requires="wps">
                  <w:drawing>
                    <wp:anchor distT="91440" distB="91440" distL="114300" distR="114300" simplePos="0" relativeHeight="251661312" behindDoc="1" locked="0" layoutInCell="1" allowOverlap="1" wp14:anchorId="671F5332" wp14:editId="37C7884C">
                      <wp:simplePos x="0" y="0"/>
                      <wp:positionH relativeFrom="page">
                        <wp:posOffset>565150</wp:posOffset>
                      </wp:positionH>
                      <wp:positionV relativeFrom="bottomMargin">
                        <wp:align>top</wp:align>
                      </wp:positionV>
                      <wp:extent cx="6261100" cy="79375"/>
                      <wp:effectExtent l="0" t="0" r="25400" b="1587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61100" cy="79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1C7D1" id="Rectángulo 1" o:spid="_x0000_s1026" style="position:absolute;margin-left:44.5pt;margin-top:0;width:493pt;height:6.25pt;z-index:-25165516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" fillcolor="#44546a [3215]" strokecolor="#44546a [3215]" strokeweight="0">
                      <v:path arrowok="t"/>
                      <w10:wrap anchorx="page" anchory="margin"/>
                    </v:rect>
                  </w:pict>
                </mc:Fallback>
              </mc:AlternateConten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966E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966E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EE9560" w14:textId="77777777" w:rsidR="00A40D60" w:rsidRDefault="00A40D60" w:rsidP="00A40D60">
    <w:pPr>
      <w:pStyle w:val="Piedepgina"/>
    </w:pPr>
  </w:p>
  <w:p w14:paraId="6FE55B04" w14:textId="77777777" w:rsidR="00A40D60" w:rsidRDefault="00A40D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2BBED" w14:textId="77777777" w:rsidR="0088791F" w:rsidRDefault="0088791F" w:rsidP="00A40D60">
      <w:r>
        <w:separator/>
      </w:r>
    </w:p>
  </w:footnote>
  <w:footnote w:type="continuationSeparator" w:id="0">
    <w:p w14:paraId="52385871" w14:textId="77777777" w:rsidR="0088791F" w:rsidRDefault="0088791F" w:rsidP="00A4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12" w:type="pct"/>
      <w:jc w:val="center"/>
      <w:tblBorders>
        <w:bottom w:val="single" w:sz="18" w:space="0" w:color="44546A" w:themeColor="text2"/>
        <w:insideH w:val="single" w:sz="18" w:space="0" w:color="808080" w:themeColor="background1" w:themeShade="80"/>
        <w:insideV w:val="single" w:sz="18" w:space="0" w:color="44546A" w:themeColor="text2"/>
      </w:tblBorders>
      <w:tblCellMar>
        <w:top w:w="72" w:type="dxa"/>
        <w:left w:w="115" w:type="dxa"/>
        <w:bottom w:w="72" w:type="dxa"/>
        <w:right w:w="115" w:type="dxa"/>
      </w:tblCellMar>
      <w:tblLook w:val="0520" w:firstRow="1" w:lastRow="0" w:firstColumn="0" w:lastColumn="1" w:noHBand="0" w:noVBand="1"/>
    </w:tblPr>
    <w:tblGrid>
      <w:gridCol w:w="8450"/>
      <w:gridCol w:w="1470"/>
    </w:tblGrid>
    <w:tr w:rsidR="00A40D60" w14:paraId="3B8ADFC1" w14:textId="77777777" w:rsidTr="006205B7">
      <w:trPr>
        <w:trHeight w:val="773"/>
        <w:jc w:val="center"/>
      </w:trPr>
      <w:tc>
        <w:tcPr>
          <w:tcW w:w="4259" w:type="pct"/>
        </w:tcPr>
        <w:p w14:paraId="243800C4" w14:textId="4CB15832" w:rsidR="00A40D60" w:rsidRPr="00E87050" w:rsidRDefault="00A40D60" w:rsidP="006205B7">
          <w:pPr>
            <w:pStyle w:val="Encabezado"/>
            <w:tabs>
              <w:tab w:val="clear" w:pos="4419"/>
              <w:tab w:val="clear" w:pos="8838"/>
            </w:tabs>
            <w:ind w:hanging="966"/>
            <w:rPr>
              <w:rFonts w:asciiTheme="majorHAnsi" w:eastAsiaTheme="majorEastAsia" w:hAnsiTheme="majorHAnsi" w:cstheme="majorBidi"/>
              <w:color w:val="FFFFFF" w:themeColor="background1"/>
              <w:sz w:val="14"/>
            </w:rPr>
          </w:pPr>
          <w:r w:rsidRPr="00E87050">
            <w:rPr>
              <w:rFonts w:asciiTheme="majorHAnsi" w:eastAsiaTheme="majorEastAsia" w:hAnsiTheme="majorHAnsi" w:cstheme="majorBidi"/>
              <w:color w:val="FFFFFF" w:themeColor="background1"/>
              <w:sz w:val="14"/>
            </w:rPr>
            <w:t xml:space="preserve">Auditoría </w:t>
          </w:r>
          <w:proofErr w:type="spellStart"/>
          <w:r w:rsidRPr="00E87050">
            <w:rPr>
              <w:rFonts w:asciiTheme="majorHAnsi" w:eastAsiaTheme="majorEastAsia" w:hAnsiTheme="majorHAnsi" w:cstheme="majorBidi"/>
              <w:color w:val="FFFFFF" w:themeColor="background1"/>
              <w:sz w:val="14"/>
            </w:rPr>
            <w:t>Inte</w:t>
          </w:r>
          <w:proofErr w:type="spellEnd"/>
        </w:p>
        <w:p w14:paraId="13823500" w14:textId="77777777" w:rsidR="00A40D60" w:rsidRPr="00E87050" w:rsidRDefault="00A40D60" w:rsidP="006205B7">
          <w:pPr>
            <w:pStyle w:val="Encabezado"/>
            <w:tabs>
              <w:tab w:val="clear" w:pos="4419"/>
              <w:tab w:val="clear" w:pos="8838"/>
            </w:tabs>
            <w:rPr>
              <w:rFonts w:asciiTheme="majorHAnsi" w:eastAsiaTheme="majorEastAsia" w:hAnsiTheme="majorHAnsi" w:cstheme="majorBidi"/>
              <w:color w:val="FFFFFF" w:themeColor="background1"/>
              <w:sz w:val="14"/>
            </w:rPr>
          </w:pPr>
          <w:r w:rsidRPr="00E87050">
            <w:rPr>
              <w:rFonts w:asciiTheme="majorHAnsi" w:eastAsiaTheme="majorEastAsia" w:hAnsiTheme="majorHAnsi" w:cstheme="majorBidi"/>
              <w:color w:val="FFFFFF" w:themeColor="background1"/>
              <w:sz w:val="14"/>
            </w:rPr>
            <w:t>Administración de Vehículos Institucionales</w:t>
          </w:r>
        </w:p>
        <w:p w14:paraId="0537F3A8" w14:textId="77777777" w:rsidR="00A40D60" w:rsidRPr="006205B7" w:rsidRDefault="00A40D60" w:rsidP="006205B7">
          <w:pPr>
            <w:pStyle w:val="Encabezado"/>
            <w:tabs>
              <w:tab w:val="clear" w:pos="4419"/>
              <w:tab w:val="clear" w:pos="8838"/>
              <w:tab w:val="left" w:pos="7272"/>
            </w:tabs>
            <w:jc w:val="both"/>
            <w:rPr>
              <w:rFonts w:ascii="Arial Narrow" w:eastAsiaTheme="majorEastAsia" w:hAnsi="Arial Narrow" w:cs="Calibri Light"/>
            </w:rPr>
          </w:pPr>
          <w:r w:rsidRPr="006205B7">
            <w:rPr>
              <w:rFonts w:ascii="Arial Narrow" w:eastAsiaTheme="majorEastAsia" w:hAnsi="Arial Narrow" w:cs="Calibri Light"/>
            </w:rPr>
            <w:t>Auditoría Interna</w:t>
          </w:r>
          <w:r w:rsidRPr="006205B7">
            <w:rPr>
              <w:rFonts w:ascii="Arial Narrow" w:eastAsiaTheme="majorEastAsia" w:hAnsi="Arial Narrow" w:cs="Calibri Light"/>
            </w:rPr>
            <w:tab/>
          </w:r>
        </w:p>
        <w:p w14:paraId="4E8B1F6A" w14:textId="2BE62AF3" w:rsidR="00A40D60" w:rsidRPr="00AA1B88" w:rsidRDefault="00E62479" w:rsidP="006205B7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eastAsiaTheme="majorEastAsia" w:hAnsi="Arial" w:cs="Arial"/>
              <w:sz w:val="18"/>
              <w:szCs w:val="18"/>
            </w:rPr>
          </w:pPr>
          <w:r w:rsidRPr="006205B7">
            <w:rPr>
              <w:rFonts w:ascii="Arial Narrow" w:hAnsi="Arial Narrow" w:cs="Calibri Light"/>
            </w:rPr>
            <w:t>AI-EE: 0</w:t>
          </w:r>
          <w:r w:rsidR="00E83793" w:rsidRPr="006205B7">
            <w:rPr>
              <w:rFonts w:ascii="Arial Narrow" w:hAnsi="Arial Narrow" w:cs="Calibri Light"/>
            </w:rPr>
            <w:t>1</w:t>
          </w:r>
          <w:r w:rsidR="007C65D0" w:rsidRPr="006205B7">
            <w:rPr>
              <w:rFonts w:ascii="Arial Narrow" w:hAnsi="Arial Narrow" w:cs="Calibri Light"/>
            </w:rPr>
            <w:t>-20</w:t>
          </w:r>
          <w:r w:rsidR="00E83793" w:rsidRPr="006205B7">
            <w:rPr>
              <w:rFonts w:ascii="Arial Narrow" w:hAnsi="Arial Narrow" w:cs="Calibri Light"/>
            </w:rPr>
            <w:t>20</w:t>
          </w:r>
          <w:r w:rsidR="00A40D60" w:rsidRPr="006205B7">
            <w:rPr>
              <w:rFonts w:ascii="Arial Narrow" w:hAnsi="Arial Narrow" w:cs="Calibri Light"/>
              <w:bCs/>
            </w:rPr>
            <w:t xml:space="preserve"> </w:t>
          </w:r>
          <w:r w:rsidR="00E83793" w:rsidRPr="006205B7">
            <w:rPr>
              <w:rFonts w:ascii="Arial Narrow" w:hAnsi="Arial Narrow" w:cs="Calibri Light"/>
              <w:bCs/>
            </w:rPr>
            <w:t xml:space="preserve">Auditoría de </w:t>
          </w:r>
          <w:r w:rsidR="006205B7" w:rsidRPr="006205B7">
            <w:rPr>
              <w:rFonts w:ascii="Arial Narrow" w:hAnsi="Arial Narrow" w:cs="Calibri Light"/>
              <w:bCs/>
            </w:rPr>
            <w:t>c</w:t>
          </w:r>
          <w:r w:rsidR="00E83793" w:rsidRPr="006205B7">
            <w:rPr>
              <w:rFonts w:ascii="Arial Narrow" w:hAnsi="Arial Narrow" w:cs="Calibri Light"/>
              <w:bCs/>
            </w:rPr>
            <w:t xml:space="preserve">arácter </w:t>
          </w:r>
          <w:r w:rsidR="006205B7" w:rsidRPr="006205B7">
            <w:rPr>
              <w:rFonts w:ascii="Arial Narrow" w:hAnsi="Arial Narrow" w:cs="Calibri Light"/>
              <w:bCs/>
            </w:rPr>
            <w:t>e</w:t>
          </w:r>
          <w:r w:rsidR="00E83793" w:rsidRPr="006205B7">
            <w:rPr>
              <w:rFonts w:ascii="Arial Narrow" w:hAnsi="Arial Narrow" w:cs="Calibri Light"/>
              <w:bCs/>
            </w:rPr>
            <w:t>special de la evaluación de concursos de personal gestionados en CONAPE del 01 de enero 2019 al 05 de marzo de 2020</w:t>
          </w:r>
        </w:p>
      </w:tc>
      <w:tc>
        <w:tcPr>
          <w:tcW w:w="741" w:type="pct"/>
          <w:vAlign w:val="center"/>
        </w:tcPr>
        <w:p w14:paraId="4A4105DE" w14:textId="77777777" w:rsidR="00A40D60" w:rsidRDefault="00A40D60" w:rsidP="00A40D60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es-CR"/>
            </w:rPr>
            <w:drawing>
              <wp:anchor distT="0" distB="0" distL="114300" distR="114300" simplePos="0" relativeHeight="251659264" behindDoc="0" locked="0" layoutInCell="1" allowOverlap="1" wp14:anchorId="11FE809F" wp14:editId="6B98FC98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495759" cy="585428"/>
                <wp:effectExtent l="0" t="0" r="0" b="5715"/>
                <wp:wrapSquare wrapText="bothSides"/>
                <wp:docPr id="8" name="Imagen 8" descr="C:\Documents and Settings\ssiles\Mis documentos\Mis imágenes\Logo CONAP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ssiles\Mis documentos\Mis imágenes\Logo CONAP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759" cy="585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9B6BB3D" w14:textId="77777777" w:rsidR="00A40D60" w:rsidRDefault="00A40D60" w:rsidP="00A40D60">
    <w:pPr>
      <w:pStyle w:val="Encabezado"/>
    </w:pPr>
  </w:p>
  <w:p w14:paraId="523A01FA" w14:textId="77777777" w:rsidR="00A40D60" w:rsidRDefault="00A40D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60"/>
    <w:rsid w:val="0004478B"/>
    <w:rsid w:val="00073E5A"/>
    <w:rsid w:val="001A5EBD"/>
    <w:rsid w:val="001C680B"/>
    <w:rsid w:val="00251040"/>
    <w:rsid w:val="002D5731"/>
    <w:rsid w:val="003E0A0B"/>
    <w:rsid w:val="00616A2C"/>
    <w:rsid w:val="006205B7"/>
    <w:rsid w:val="006966E5"/>
    <w:rsid w:val="006D2F51"/>
    <w:rsid w:val="00724661"/>
    <w:rsid w:val="00732454"/>
    <w:rsid w:val="007C65D0"/>
    <w:rsid w:val="0088791F"/>
    <w:rsid w:val="00A26B4B"/>
    <w:rsid w:val="00A40D60"/>
    <w:rsid w:val="00A76607"/>
    <w:rsid w:val="00BA24A5"/>
    <w:rsid w:val="00CB2CBF"/>
    <w:rsid w:val="00DC7170"/>
    <w:rsid w:val="00E27DF3"/>
    <w:rsid w:val="00E62479"/>
    <w:rsid w:val="00E83793"/>
    <w:rsid w:val="00FC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154C1B"/>
  <w15:chartTrackingRefBased/>
  <w15:docId w15:val="{D340976E-BCB4-4F93-A2CA-FA734846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6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8379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qFormat/>
    <w:rsid w:val="00A40D60"/>
    <w:pPr>
      <w:keepNext/>
      <w:jc w:val="both"/>
      <w:outlineLvl w:val="1"/>
    </w:pPr>
    <w:rPr>
      <w:rFonts w:ascii="Arial" w:hAnsi="Arial"/>
      <w:b/>
      <w:bCs/>
      <w:i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40D60"/>
    <w:rPr>
      <w:rFonts w:ascii="Arial" w:eastAsia="MS Mincho" w:hAnsi="Arial" w:cs="Times New Roman"/>
      <w:b/>
      <w:bCs/>
      <w:iCs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40D6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40D60"/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40D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D60"/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0D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60"/>
    <w:rPr>
      <w:rFonts w:ascii="Times New Roman" w:eastAsia="MS Mincho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7C6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Párrafo de Informe de Auditoría"/>
    <w:basedOn w:val="Normal"/>
    <w:link w:val="PrrafodelistaCar"/>
    <w:uiPriority w:val="34"/>
    <w:qFormat/>
    <w:rsid w:val="007C65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Párrafo de Informe de Auditoría Car"/>
    <w:link w:val="Prrafodelista"/>
    <w:uiPriority w:val="34"/>
    <w:rsid w:val="007C65D0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837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Villalobos Astúa</dc:creator>
  <cp:keywords/>
  <dc:description/>
  <cp:lastModifiedBy>Flory Villalobos</cp:lastModifiedBy>
  <cp:revision>6</cp:revision>
  <cp:lastPrinted>2019-12-10T19:20:00Z</cp:lastPrinted>
  <dcterms:created xsi:type="dcterms:W3CDTF">2020-12-21T13:42:00Z</dcterms:created>
  <dcterms:modified xsi:type="dcterms:W3CDTF">2020-12-21T14:14:00Z</dcterms:modified>
</cp:coreProperties>
</file>