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B04D" w14:textId="77777777" w:rsidR="00A40D60" w:rsidRPr="004C77C2" w:rsidRDefault="00A40D60" w:rsidP="00A40D60">
      <w:pPr>
        <w:pStyle w:val="Ttulo2"/>
        <w:jc w:val="center"/>
        <w:rPr>
          <w:rFonts w:cs="Arial"/>
          <w:sz w:val="28"/>
          <w:szCs w:val="28"/>
        </w:rPr>
      </w:pPr>
      <w:bookmarkStart w:id="0" w:name="_Toc214962611"/>
      <w:bookmarkStart w:id="1" w:name="_Toc260389484"/>
      <w:bookmarkStart w:id="2" w:name="_Toc527619984"/>
      <w:r w:rsidRPr="00B37C7E">
        <w:rPr>
          <w:rFonts w:cs="Arial"/>
          <w:sz w:val="28"/>
          <w:szCs w:val="28"/>
        </w:rPr>
        <w:t>RESUMEN EJECUTIVO</w:t>
      </w:r>
      <w:bookmarkEnd w:id="0"/>
      <w:bookmarkEnd w:id="1"/>
      <w:bookmarkEnd w:id="2"/>
    </w:p>
    <w:p w14:paraId="68453A09" w14:textId="77777777" w:rsidR="00A40D60" w:rsidRDefault="00A40D60" w:rsidP="00A40D60">
      <w:pPr>
        <w:pStyle w:val="Sangradetextonormal"/>
        <w:spacing w:after="0"/>
        <w:ind w:left="0"/>
        <w:jc w:val="both"/>
        <w:rPr>
          <w:rFonts w:ascii="Arial" w:hAnsi="Arial" w:cs="Arial"/>
          <w:sz w:val="22"/>
          <w:szCs w:val="22"/>
        </w:rPr>
      </w:pPr>
    </w:p>
    <w:p w14:paraId="35835BA4" w14:textId="77777777" w:rsidR="00E83793" w:rsidRPr="004C4A61" w:rsidRDefault="00E83793" w:rsidP="00E83793">
      <w:pPr>
        <w:autoSpaceDE w:val="0"/>
        <w:autoSpaceDN w:val="0"/>
        <w:adjustRightInd w:val="0"/>
        <w:jc w:val="both"/>
        <w:rPr>
          <w:rFonts w:ascii="Arial Narrow" w:hAnsi="Arial Narrow" w:cs="Arial"/>
        </w:rPr>
      </w:pPr>
    </w:p>
    <w:p w14:paraId="5DE88DFE" w14:textId="77777777" w:rsidR="005C5DB8" w:rsidRDefault="005C5DB8" w:rsidP="005C5DB8">
      <w:pPr>
        <w:spacing w:line="360" w:lineRule="atLeast"/>
        <w:jc w:val="both"/>
        <w:rPr>
          <w:rFonts w:ascii="Arial Narrow" w:eastAsiaTheme="minorHAnsi" w:hAnsi="Arial Narrow" w:cstheme="minorBidi"/>
          <w:sz w:val="28"/>
          <w:szCs w:val="28"/>
          <w:lang w:eastAsia="en-US"/>
        </w:rPr>
      </w:pPr>
      <w:r w:rsidRPr="005C5DB8">
        <w:rPr>
          <w:rFonts w:ascii="Arial Narrow" w:eastAsia="Times New Roman" w:hAnsi="Arial Narrow" w:cstheme="minorHAnsi"/>
          <w:sz w:val="28"/>
          <w:szCs w:val="28"/>
        </w:rPr>
        <w:t xml:space="preserve">Esta Auditoría Interna realizó una auditoría operativa con el objetivo primordial de </w:t>
      </w:r>
      <w:r w:rsidRPr="005C5DB8">
        <w:rPr>
          <w:rFonts w:ascii="Arial Narrow" w:eastAsia="Times New Roman" w:hAnsi="Arial Narrow" w:cstheme="minorHAnsi"/>
          <w:sz w:val="28"/>
          <w:szCs w:val="28"/>
          <w:lang w:val="es-ES"/>
        </w:rPr>
        <w:t xml:space="preserve">analizar las prácticas de </w:t>
      </w:r>
      <w:r w:rsidRPr="005C5DB8">
        <w:rPr>
          <w:rFonts w:ascii="Arial Narrow" w:eastAsia="Times New Roman" w:hAnsi="Arial Narrow" w:cstheme="minorHAnsi"/>
          <w:sz w:val="28"/>
          <w:szCs w:val="28"/>
        </w:rPr>
        <w:t>gestión de activos de TIC que implementa la Sección de Informática y la Sección Administrativa de CONAPE y evaluar los controles definidos y los riesgos y/o amenazas asociadas. Para tal fin se evaluó la funcionalidad del sistema de activos respecto a las condiciones establecidas m</w:t>
      </w:r>
      <w:r w:rsidRPr="005C5DB8">
        <w:rPr>
          <w:rFonts w:ascii="Arial Narrow" w:eastAsiaTheme="minorHAnsi" w:hAnsi="Arial Narrow" w:cstheme="minorBidi"/>
          <w:sz w:val="28"/>
          <w:szCs w:val="28"/>
          <w:lang w:eastAsia="en-US"/>
        </w:rPr>
        <w:t xml:space="preserve">ediante Compra Directa No. 2016CD-000241-01, necesidades actuales e información de base de datos; se revisó aspectos de gestión del inventario de hardware y software y la herramienta de apoyo que se utiliza; se recopiló información relacionada a las mejoras o reparaciones de activos TIC; se hicieron inspecciones a las bodegas de activos en desuso; se aplicaron cuestionarios y realizaron entrevistas. </w:t>
      </w:r>
    </w:p>
    <w:p w14:paraId="2A6EDC09" w14:textId="77777777" w:rsidR="005C5DB8" w:rsidRDefault="005C5DB8" w:rsidP="005C5DB8">
      <w:pPr>
        <w:spacing w:line="360" w:lineRule="atLeast"/>
        <w:jc w:val="both"/>
        <w:rPr>
          <w:rFonts w:ascii="Arial Narrow" w:eastAsiaTheme="minorHAnsi" w:hAnsi="Arial Narrow" w:cstheme="minorBidi"/>
          <w:sz w:val="28"/>
          <w:szCs w:val="28"/>
          <w:lang w:eastAsia="en-US"/>
        </w:rPr>
      </w:pPr>
    </w:p>
    <w:p w14:paraId="04B5FD83" w14:textId="3D9C261C" w:rsidR="005C5DB8" w:rsidRPr="005C5DB8" w:rsidRDefault="005C5DB8" w:rsidP="005C5DB8">
      <w:pPr>
        <w:spacing w:line="360" w:lineRule="atLeast"/>
        <w:jc w:val="both"/>
        <w:rPr>
          <w:rFonts w:ascii="Arial Narrow" w:eastAsiaTheme="minorHAnsi" w:hAnsi="Arial Narrow" w:cstheme="minorBidi"/>
          <w:sz w:val="28"/>
          <w:szCs w:val="28"/>
          <w:lang w:eastAsia="en-US"/>
        </w:rPr>
      </w:pPr>
      <w:r w:rsidRPr="005C5DB8">
        <w:rPr>
          <w:rFonts w:ascii="Arial Narrow" w:eastAsiaTheme="minorHAnsi" w:hAnsi="Arial Narrow" w:cstheme="minorBidi"/>
          <w:sz w:val="28"/>
          <w:szCs w:val="28"/>
          <w:lang w:eastAsia="en-US"/>
        </w:rPr>
        <w:t>El estudio abarcó el período inicial de abril 2020 y de conformidad con las fechas en que se efectuaron las comprobaciones de campo.  Cabe señalar que una adecuada gestión de activos TIC, entre otros aspectos, contribuye al cumplimiento regulatorio en esta materia, fortalece el control interno y coadyuva a la continuidad del negocio.</w:t>
      </w:r>
    </w:p>
    <w:p w14:paraId="54CB3958" w14:textId="77777777" w:rsidR="005C5DB8" w:rsidRPr="005C5DB8" w:rsidRDefault="005C5DB8" w:rsidP="005C5DB8">
      <w:pPr>
        <w:spacing w:line="360" w:lineRule="atLeast"/>
        <w:jc w:val="both"/>
        <w:rPr>
          <w:rFonts w:ascii="Arial Narrow" w:eastAsia="Times New Roman" w:hAnsi="Arial Narrow" w:cstheme="minorHAnsi"/>
          <w:sz w:val="28"/>
          <w:szCs w:val="28"/>
        </w:rPr>
      </w:pPr>
    </w:p>
    <w:p w14:paraId="567C1B47" w14:textId="77777777" w:rsidR="005C5DB8" w:rsidRDefault="005C5DB8" w:rsidP="005C5DB8">
      <w:pPr>
        <w:spacing w:line="360" w:lineRule="atLeast"/>
        <w:jc w:val="both"/>
        <w:rPr>
          <w:rFonts w:ascii="Arial Narrow" w:eastAsiaTheme="minorHAnsi" w:hAnsi="Arial Narrow" w:cstheme="minorBidi"/>
          <w:sz w:val="28"/>
          <w:szCs w:val="28"/>
          <w:lang w:eastAsia="en-US"/>
        </w:rPr>
      </w:pPr>
      <w:r w:rsidRPr="005C5DB8">
        <w:rPr>
          <w:rFonts w:ascii="Arial Narrow" w:eastAsiaTheme="minorHAnsi" w:hAnsi="Arial Narrow" w:cstheme="minorBidi"/>
          <w:sz w:val="28"/>
          <w:szCs w:val="28"/>
          <w:lang w:eastAsia="en-US"/>
        </w:rPr>
        <w:t xml:space="preserve">En la evaluación se determinaron hallazgos que requieren ser atendidos, tales como, el software de control de activos cuenta con muchas limitaciones y falencias respecto de las necesidades de usuario; además, la Institución no adquirió los programas fuente, la empresa desarrolladora ya no brinda soporte a esta versión y no se cuenta con personal interno capacitado en el lenguaje de programación en el que fue desarrollado. Pudo acreditarse que las reparaciones sobre activos TIC que se realizan en la Institución no cuentan con un procedimiento formal.  Se identificaron oportunidades de mejora en cuanto a la custodia de activos de TIC en bodega.  </w:t>
      </w:r>
    </w:p>
    <w:p w14:paraId="1B62371D" w14:textId="77777777" w:rsidR="005C5DB8" w:rsidRDefault="005C5DB8" w:rsidP="005C5DB8">
      <w:pPr>
        <w:spacing w:line="360" w:lineRule="atLeast"/>
        <w:jc w:val="both"/>
        <w:rPr>
          <w:rFonts w:ascii="Arial Narrow" w:eastAsiaTheme="minorHAnsi" w:hAnsi="Arial Narrow" w:cstheme="minorBidi"/>
          <w:sz w:val="28"/>
          <w:szCs w:val="28"/>
          <w:lang w:eastAsia="en-US"/>
        </w:rPr>
      </w:pPr>
    </w:p>
    <w:p w14:paraId="1363CC00" w14:textId="048DC674" w:rsidR="005C5DB8" w:rsidRPr="005C5DB8" w:rsidRDefault="005C5DB8" w:rsidP="005C5DB8">
      <w:pPr>
        <w:spacing w:line="360" w:lineRule="atLeast"/>
        <w:jc w:val="both"/>
        <w:rPr>
          <w:rFonts w:ascii="Arial Narrow" w:eastAsiaTheme="minorHAnsi" w:hAnsi="Arial Narrow" w:cstheme="minorBidi"/>
          <w:sz w:val="28"/>
          <w:szCs w:val="28"/>
          <w:lang w:eastAsia="en-US"/>
        </w:rPr>
      </w:pPr>
      <w:r w:rsidRPr="005C5DB8">
        <w:rPr>
          <w:rFonts w:ascii="Arial Narrow" w:eastAsiaTheme="minorHAnsi" w:hAnsi="Arial Narrow" w:cstheme="minorBidi"/>
          <w:sz w:val="28"/>
          <w:szCs w:val="28"/>
          <w:lang w:eastAsia="en-US"/>
        </w:rPr>
        <w:t xml:space="preserve">Existen activos en desuso que deben ser devueltos por las áreas usuarias a la Sección Administrativa. El criterio técnico aportado para la devolución de este tipo de activos está resultando insuficiente para que la Sección Administrativa se apoye para su respectivo desecho o tratamiento. Además, no toda devolución de activos TIC viene </w:t>
      </w:r>
      <w:r>
        <w:rPr>
          <w:rFonts w:ascii="Arial Narrow" w:eastAsiaTheme="minorHAnsi" w:hAnsi="Arial Narrow" w:cstheme="minorBidi"/>
          <w:sz w:val="28"/>
          <w:szCs w:val="28"/>
          <w:lang w:eastAsia="en-US"/>
        </w:rPr>
        <w:lastRenderedPageBreak/>
        <w:t>a</w:t>
      </w:r>
      <w:r w:rsidRPr="005C5DB8">
        <w:rPr>
          <w:rFonts w:ascii="Arial Narrow" w:eastAsiaTheme="minorHAnsi" w:hAnsi="Arial Narrow" w:cstheme="minorBidi"/>
          <w:sz w:val="28"/>
          <w:szCs w:val="28"/>
          <w:lang w:eastAsia="en-US"/>
        </w:rPr>
        <w:t>compañada de un criterio técnico. No existe un procedimiento que asegure razonablemente que los registros contables sobre el licenciamiento de software están completos y actualizados conforme al inventario de licencias Institucional. Finalmente, se realizaron observaciones relacionadas al inventario de hardware y software.</w:t>
      </w:r>
    </w:p>
    <w:p w14:paraId="7695C61B" w14:textId="77777777" w:rsidR="005C5DB8" w:rsidRPr="005C5DB8" w:rsidRDefault="005C5DB8" w:rsidP="005C5DB8">
      <w:pPr>
        <w:spacing w:line="360" w:lineRule="atLeast"/>
        <w:jc w:val="both"/>
        <w:rPr>
          <w:rFonts w:ascii="Arial Narrow" w:eastAsiaTheme="minorHAnsi" w:hAnsi="Arial Narrow" w:cstheme="minorBidi"/>
          <w:sz w:val="28"/>
          <w:szCs w:val="28"/>
          <w:lang w:eastAsia="en-US"/>
        </w:rPr>
      </w:pPr>
    </w:p>
    <w:p w14:paraId="6ADDFD28" w14:textId="77777777" w:rsidR="005C5DB8" w:rsidRPr="005C5DB8" w:rsidRDefault="005C5DB8" w:rsidP="005C5DB8">
      <w:pPr>
        <w:spacing w:line="360" w:lineRule="atLeast"/>
        <w:jc w:val="both"/>
        <w:rPr>
          <w:rFonts w:ascii="Arial Narrow" w:eastAsia="Times New Roman" w:hAnsi="Arial Narrow" w:cstheme="minorHAnsi"/>
          <w:sz w:val="28"/>
          <w:szCs w:val="28"/>
        </w:rPr>
      </w:pPr>
      <w:r w:rsidRPr="005C5DB8">
        <w:rPr>
          <w:rFonts w:ascii="Arial Narrow" w:eastAsia="Times New Roman" w:hAnsi="Arial Narrow" w:cstheme="minorHAnsi"/>
          <w:sz w:val="28"/>
          <w:szCs w:val="28"/>
        </w:rPr>
        <w:t>Así las cosas, se emitieron las recomendaciones correspondientes, en aras de propiciar una efectiva y eficiente Gestión de Activos de TIC en CONAPE.</w:t>
      </w:r>
    </w:p>
    <w:p w14:paraId="5312CD92" w14:textId="77777777" w:rsidR="00DB1B6D" w:rsidRPr="00010248" w:rsidRDefault="00AB2420" w:rsidP="00010248">
      <w:pPr>
        <w:spacing w:line="360" w:lineRule="atLeast"/>
        <w:jc w:val="both"/>
        <w:rPr>
          <w:sz w:val="28"/>
          <w:szCs w:val="28"/>
        </w:rPr>
      </w:pPr>
    </w:p>
    <w:sectPr w:rsidR="00DB1B6D" w:rsidRPr="00010248" w:rsidSect="00A76607">
      <w:headerReference w:type="default" r:id="rId6"/>
      <w:foot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1F371" w14:textId="77777777" w:rsidR="00AB2420" w:rsidRDefault="00AB2420" w:rsidP="00A40D60">
      <w:r>
        <w:separator/>
      </w:r>
    </w:p>
  </w:endnote>
  <w:endnote w:type="continuationSeparator" w:id="0">
    <w:p w14:paraId="2AB1ADA2" w14:textId="77777777" w:rsidR="00AB2420" w:rsidRDefault="00AB2420" w:rsidP="00A4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677437"/>
      <w:docPartObj>
        <w:docPartGallery w:val="Page Numbers (Bottom of Page)"/>
        <w:docPartUnique/>
      </w:docPartObj>
    </w:sdtPr>
    <w:sdtEndPr/>
    <w:sdtContent>
      <w:sdt>
        <w:sdtPr>
          <w:id w:val="-942451672"/>
          <w:docPartObj>
            <w:docPartGallery w:val="Page Numbers (Top of Page)"/>
            <w:docPartUnique/>
          </w:docPartObj>
        </w:sdtPr>
        <w:sdtEndPr/>
        <w:sdtContent>
          <w:p w14:paraId="194C7343" w14:textId="77777777" w:rsidR="00A40D60" w:rsidRDefault="00A40D60" w:rsidP="00A40D60">
            <w:pPr>
              <w:pStyle w:val="Piedepgina"/>
              <w:jc w:val="right"/>
            </w:pPr>
            <w:r>
              <w:rPr>
                <w:noProof/>
                <w:color w:val="5B9BD5" w:themeColor="accent1"/>
                <w:lang w:eastAsia="es-CR"/>
              </w:rPr>
              <mc:AlternateContent>
                <mc:Choice Requires="wps">
                  <w:drawing>
                    <wp:anchor distT="91440" distB="91440" distL="114300" distR="114300" simplePos="0" relativeHeight="251661312" behindDoc="1" locked="0" layoutInCell="1" allowOverlap="1" wp14:anchorId="671F5332" wp14:editId="37C7884C">
                      <wp:simplePos x="0" y="0"/>
                      <wp:positionH relativeFrom="page">
                        <wp:posOffset>565150</wp:posOffset>
                      </wp:positionH>
                      <wp:positionV relativeFrom="bottomMargin">
                        <wp:align>top</wp:align>
                      </wp:positionV>
                      <wp:extent cx="6261100" cy="79375"/>
                      <wp:effectExtent l="0" t="0" r="25400" b="158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79375"/>
                              </a:xfrm>
                              <a:prstGeom prst="rect">
                                <a:avLst/>
                              </a:prstGeom>
                              <a:solidFill>
                                <a:schemeClr val="tx2"/>
                              </a:solidFill>
                              <a:ln w="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D1C7D1" id="Rectángulo 1" o:spid="_x0000_s1026" style="position:absolute;margin-left:44.5pt;margin-top:0;width:493pt;height:6.25pt;z-index:-251655168;visibility:visible;mso-wrap-style:square;mso-width-percent:0;mso-height-percent:0;mso-wrap-distance-left:9pt;mso-wrap-distance-top:7.2pt;mso-wrap-distance-right:9pt;mso-wrap-distance-bottom:7.2pt;mso-position-horizontal:absolute;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" fillcolor="#44546a [3215]" strokecolor="#44546a [3215]" strokeweight="0">
                      <v:path arrowok="t"/>
                      <w10:wrap anchorx="page" anchory="margin"/>
                    </v:rect>
                  </w:pict>
                </mc:Fallback>
              </mc:AlternateContent>
            </w:r>
            <w:r>
              <w:rPr>
                <w:lang w:val="es-ES"/>
              </w:rPr>
              <w:t xml:space="preserve">Página </w:t>
            </w:r>
            <w:r>
              <w:rPr>
                <w:b/>
                <w:bCs/>
              </w:rPr>
              <w:fldChar w:fldCharType="begin"/>
            </w:r>
            <w:r>
              <w:rPr>
                <w:b/>
                <w:bCs/>
              </w:rPr>
              <w:instrText>PAGE</w:instrText>
            </w:r>
            <w:r>
              <w:rPr>
                <w:b/>
                <w:bCs/>
              </w:rPr>
              <w:fldChar w:fldCharType="separate"/>
            </w:r>
            <w:r w:rsidR="006966E5">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966E5">
              <w:rPr>
                <w:b/>
                <w:bCs/>
                <w:noProof/>
              </w:rPr>
              <w:t>2</w:t>
            </w:r>
            <w:r>
              <w:rPr>
                <w:b/>
                <w:bCs/>
              </w:rPr>
              <w:fldChar w:fldCharType="end"/>
            </w:r>
          </w:p>
        </w:sdtContent>
      </w:sdt>
    </w:sdtContent>
  </w:sdt>
  <w:p w14:paraId="24EE9560" w14:textId="77777777" w:rsidR="00A40D60" w:rsidRDefault="00A40D60" w:rsidP="00A40D60">
    <w:pPr>
      <w:pStyle w:val="Piedepgina"/>
    </w:pPr>
  </w:p>
  <w:p w14:paraId="6FE55B04" w14:textId="77777777" w:rsidR="00A40D60" w:rsidRDefault="00A40D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56C2" w14:textId="77777777" w:rsidR="00AB2420" w:rsidRDefault="00AB2420" w:rsidP="00A40D60">
      <w:r>
        <w:separator/>
      </w:r>
    </w:p>
  </w:footnote>
  <w:footnote w:type="continuationSeparator" w:id="0">
    <w:p w14:paraId="4C180C82" w14:textId="77777777" w:rsidR="00AB2420" w:rsidRDefault="00AB2420" w:rsidP="00A4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12" w:type="pct"/>
      <w:jc w:val="center"/>
      <w:tblBorders>
        <w:bottom w:val="single" w:sz="18" w:space="0" w:color="44546A" w:themeColor="text2"/>
        <w:insideH w:val="single" w:sz="18" w:space="0" w:color="808080" w:themeColor="background1" w:themeShade="80"/>
        <w:insideV w:val="single" w:sz="18" w:space="0" w:color="44546A" w:themeColor="text2"/>
      </w:tblBorders>
      <w:tblCellMar>
        <w:top w:w="72" w:type="dxa"/>
        <w:left w:w="115" w:type="dxa"/>
        <w:bottom w:w="72" w:type="dxa"/>
        <w:right w:w="115" w:type="dxa"/>
      </w:tblCellMar>
      <w:tblLook w:val="0520" w:firstRow="1" w:lastRow="0" w:firstColumn="0" w:lastColumn="1" w:noHBand="0" w:noVBand="1"/>
    </w:tblPr>
    <w:tblGrid>
      <w:gridCol w:w="8450"/>
      <w:gridCol w:w="1470"/>
    </w:tblGrid>
    <w:tr w:rsidR="00A40D60" w14:paraId="3B8ADFC1" w14:textId="77777777" w:rsidTr="001C4D94">
      <w:trPr>
        <w:trHeight w:val="773"/>
        <w:jc w:val="center"/>
      </w:trPr>
      <w:tc>
        <w:tcPr>
          <w:tcW w:w="4259" w:type="pct"/>
        </w:tcPr>
        <w:p w14:paraId="243800C4" w14:textId="77777777" w:rsidR="00A40D60" w:rsidRPr="00E87050" w:rsidRDefault="00A40D60" w:rsidP="00A40D60">
          <w:pPr>
            <w:pStyle w:val="Encabezado"/>
            <w:tabs>
              <w:tab w:val="clear" w:pos="4419"/>
              <w:tab w:val="clear" w:pos="8838"/>
            </w:tabs>
            <w:ind w:hanging="966"/>
            <w:jc w:val="center"/>
            <w:rPr>
              <w:rFonts w:asciiTheme="majorHAnsi" w:eastAsiaTheme="majorEastAsia" w:hAnsiTheme="majorHAnsi" w:cstheme="majorBidi"/>
              <w:color w:val="FFFFFF" w:themeColor="background1"/>
              <w:sz w:val="14"/>
            </w:rPr>
          </w:pPr>
          <w:r w:rsidRPr="00E87050">
            <w:rPr>
              <w:rFonts w:asciiTheme="majorHAnsi" w:eastAsiaTheme="majorEastAsia" w:hAnsiTheme="majorHAnsi" w:cstheme="majorBidi"/>
              <w:color w:val="FFFFFF" w:themeColor="background1"/>
              <w:sz w:val="14"/>
            </w:rPr>
            <w:t>Auditoría Interna</w:t>
          </w:r>
        </w:p>
        <w:p w14:paraId="13823500" w14:textId="77777777" w:rsidR="00A40D60" w:rsidRPr="00E87050" w:rsidRDefault="00A40D60" w:rsidP="00A40D60">
          <w:pPr>
            <w:pStyle w:val="Encabezado"/>
            <w:tabs>
              <w:tab w:val="clear" w:pos="4419"/>
              <w:tab w:val="clear" w:pos="8838"/>
            </w:tabs>
            <w:rPr>
              <w:rFonts w:asciiTheme="majorHAnsi" w:eastAsiaTheme="majorEastAsia" w:hAnsiTheme="majorHAnsi" w:cstheme="majorBidi"/>
              <w:color w:val="FFFFFF" w:themeColor="background1"/>
              <w:sz w:val="14"/>
            </w:rPr>
          </w:pPr>
          <w:r w:rsidRPr="00E87050">
            <w:rPr>
              <w:rFonts w:asciiTheme="majorHAnsi" w:eastAsiaTheme="majorEastAsia" w:hAnsiTheme="majorHAnsi" w:cstheme="majorBidi"/>
              <w:color w:val="FFFFFF" w:themeColor="background1"/>
              <w:sz w:val="14"/>
            </w:rPr>
            <w:t>Administración de Vehículos Institucionales</w:t>
          </w:r>
        </w:p>
        <w:p w14:paraId="0537F3A8" w14:textId="77777777" w:rsidR="00A40D60" w:rsidRPr="009D2283" w:rsidRDefault="00A40D60" w:rsidP="00A40D60">
          <w:pPr>
            <w:pStyle w:val="Encabezado"/>
            <w:tabs>
              <w:tab w:val="clear" w:pos="4419"/>
              <w:tab w:val="clear" w:pos="8838"/>
              <w:tab w:val="left" w:pos="7272"/>
            </w:tabs>
            <w:rPr>
              <w:rFonts w:ascii="Arial Narrow" w:eastAsiaTheme="majorEastAsia" w:hAnsi="Arial Narrow" w:cs="Calibri Light"/>
              <w:sz w:val="26"/>
              <w:szCs w:val="26"/>
            </w:rPr>
          </w:pPr>
          <w:r w:rsidRPr="009D2283">
            <w:rPr>
              <w:rFonts w:ascii="Arial Narrow" w:eastAsiaTheme="majorEastAsia" w:hAnsi="Arial Narrow" w:cs="Calibri Light"/>
              <w:sz w:val="26"/>
              <w:szCs w:val="26"/>
            </w:rPr>
            <w:t>Auditoría Interna</w:t>
          </w:r>
          <w:r w:rsidRPr="009D2283">
            <w:rPr>
              <w:rFonts w:ascii="Arial Narrow" w:eastAsiaTheme="majorEastAsia" w:hAnsi="Arial Narrow" w:cs="Calibri Light"/>
              <w:sz w:val="26"/>
              <w:szCs w:val="26"/>
            </w:rPr>
            <w:tab/>
          </w:r>
        </w:p>
        <w:p w14:paraId="4E8B1F6A" w14:textId="0D3CA354" w:rsidR="00A40D60" w:rsidRPr="00AA1B88" w:rsidRDefault="00E62479" w:rsidP="00E62479">
          <w:pPr>
            <w:pStyle w:val="Encabezado"/>
            <w:tabs>
              <w:tab w:val="clear" w:pos="4419"/>
              <w:tab w:val="clear" w:pos="8838"/>
            </w:tabs>
            <w:rPr>
              <w:rFonts w:ascii="Arial" w:eastAsiaTheme="majorEastAsia" w:hAnsi="Arial" w:cs="Arial"/>
              <w:sz w:val="18"/>
              <w:szCs w:val="18"/>
            </w:rPr>
          </w:pPr>
          <w:r w:rsidRPr="009D2283">
            <w:rPr>
              <w:rFonts w:ascii="Arial Narrow" w:hAnsi="Arial Narrow" w:cs="Calibri Light"/>
              <w:sz w:val="26"/>
              <w:szCs w:val="26"/>
            </w:rPr>
            <w:t>AI-</w:t>
          </w:r>
          <w:r w:rsidR="005C5DB8">
            <w:rPr>
              <w:rFonts w:ascii="Arial Narrow" w:hAnsi="Arial Narrow" w:cs="Calibri Light"/>
              <w:sz w:val="26"/>
              <w:szCs w:val="26"/>
            </w:rPr>
            <w:t>AO</w:t>
          </w:r>
          <w:r w:rsidRPr="009D2283">
            <w:rPr>
              <w:rFonts w:ascii="Arial Narrow" w:hAnsi="Arial Narrow" w:cs="Calibri Light"/>
              <w:sz w:val="26"/>
              <w:szCs w:val="26"/>
            </w:rPr>
            <w:t>: 0</w:t>
          </w:r>
          <w:r w:rsidR="005C5DB8">
            <w:rPr>
              <w:rFonts w:ascii="Arial Narrow" w:hAnsi="Arial Narrow" w:cs="Calibri Light"/>
              <w:sz w:val="26"/>
              <w:szCs w:val="26"/>
            </w:rPr>
            <w:t>1</w:t>
          </w:r>
          <w:r w:rsidR="007C65D0" w:rsidRPr="009D2283">
            <w:rPr>
              <w:rFonts w:ascii="Arial Narrow" w:hAnsi="Arial Narrow" w:cs="Calibri Light"/>
              <w:sz w:val="26"/>
              <w:szCs w:val="26"/>
            </w:rPr>
            <w:t>-20</w:t>
          </w:r>
          <w:r w:rsidR="00E83793" w:rsidRPr="009D2283">
            <w:rPr>
              <w:rFonts w:ascii="Arial Narrow" w:hAnsi="Arial Narrow" w:cs="Calibri Light"/>
              <w:sz w:val="26"/>
              <w:szCs w:val="26"/>
            </w:rPr>
            <w:t>20</w:t>
          </w:r>
          <w:r w:rsidR="00A40D60" w:rsidRPr="009D2283">
            <w:rPr>
              <w:rFonts w:ascii="Arial Narrow" w:hAnsi="Arial Narrow" w:cs="Calibri Light"/>
              <w:bCs/>
              <w:sz w:val="26"/>
              <w:szCs w:val="26"/>
            </w:rPr>
            <w:t xml:space="preserve"> </w:t>
          </w:r>
          <w:r w:rsidR="005C5DB8">
            <w:rPr>
              <w:rFonts w:ascii="Arial Narrow" w:hAnsi="Arial Narrow" w:cs="Calibri Light"/>
              <w:bCs/>
              <w:sz w:val="26"/>
              <w:szCs w:val="26"/>
            </w:rPr>
            <w:t>Gestión de activos de tecnología, información y comunicación</w:t>
          </w:r>
        </w:p>
      </w:tc>
      <w:tc>
        <w:tcPr>
          <w:tcW w:w="741" w:type="pct"/>
          <w:vAlign w:val="bottom"/>
        </w:tcPr>
        <w:p w14:paraId="4A4105DE" w14:textId="77777777" w:rsidR="00A40D60" w:rsidRDefault="00A40D60" w:rsidP="001C4D94">
          <w:pPr>
            <w:pStyle w:val="Encabezado"/>
            <w:tabs>
              <w:tab w:val="clear" w:pos="4419"/>
              <w:tab w:val="clear" w:pos="8838"/>
            </w:tabs>
            <w:jc w:val="center"/>
            <w:rPr>
              <w:rFonts w:asciiTheme="majorHAnsi" w:eastAsiaTheme="majorEastAsia" w:hAnsiTheme="majorHAnsi" w:cstheme="majorBidi"/>
              <w:b/>
              <w:bCs/>
              <w:color w:val="5B9BD5" w:themeColor="accent1"/>
              <w:sz w:val="36"/>
              <w:szCs w:val="36"/>
            </w:rPr>
          </w:pPr>
          <w:r>
            <w:rPr>
              <w:rFonts w:asciiTheme="majorHAnsi" w:eastAsiaTheme="majorEastAsia" w:hAnsiTheme="majorHAnsi" w:cstheme="majorBidi"/>
              <w:b/>
              <w:bCs/>
              <w:noProof/>
              <w:color w:val="5B9BD5" w:themeColor="accent1"/>
              <w:sz w:val="36"/>
              <w:szCs w:val="36"/>
              <w:lang w:eastAsia="es-CR"/>
            </w:rPr>
            <w:drawing>
              <wp:anchor distT="0" distB="0" distL="114300" distR="114300" simplePos="0" relativeHeight="251659264" behindDoc="0" locked="0" layoutInCell="1" allowOverlap="1" wp14:anchorId="11FE809F" wp14:editId="293CD0D2">
                <wp:simplePos x="0" y="0"/>
                <wp:positionH relativeFrom="column">
                  <wp:posOffset>134620</wp:posOffset>
                </wp:positionH>
                <wp:positionV relativeFrom="paragraph">
                  <wp:posOffset>-212725</wp:posOffset>
                </wp:positionV>
                <wp:extent cx="495300" cy="584835"/>
                <wp:effectExtent l="0" t="0" r="0" b="5715"/>
                <wp:wrapSquare wrapText="bothSides"/>
                <wp:docPr id="8" name="Imagen 8" descr="C:\Documents and Settings\ssiles\Mis documentos\Mis imágenes\Logo CON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iles\Mis documentos\Mis imágenes\Logo CON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9B6BB3D" w14:textId="77777777" w:rsidR="00A40D60" w:rsidRDefault="00A40D60" w:rsidP="00A40D60">
    <w:pPr>
      <w:pStyle w:val="Encabezado"/>
    </w:pPr>
  </w:p>
  <w:p w14:paraId="523A01FA" w14:textId="77777777" w:rsidR="00A40D60" w:rsidRDefault="00A40D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60"/>
    <w:rsid w:val="00010248"/>
    <w:rsid w:val="0004478B"/>
    <w:rsid w:val="00073E5A"/>
    <w:rsid w:val="001A5EBD"/>
    <w:rsid w:val="001C4D94"/>
    <w:rsid w:val="001C680B"/>
    <w:rsid w:val="00251040"/>
    <w:rsid w:val="0035111F"/>
    <w:rsid w:val="005C5DB8"/>
    <w:rsid w:val="00616A2C"/>
    <w:rsid w:val="006966E5"/>
    <w:rsid w:val="006D2F51"/>
    <w:rsid w:val="00724661"/>
    <w:rsid w:val="00732454"/>
    <w:rsid w:val="007C65D0"/>
    <w:rsid w:val="009D2283"/>
    <w:rsid w:val="00A26B4B"/>
    <w:rsid w:val="00A40D60"/>
    <w:rsid w:val="00A76607"/>
    <w:rsid w:val="00AB2420"/>
    <w:rsid w:val="00B713D2"/>
    <w:rsid w:val="00BA24A5"/>
    <w:rsid w:val="00CB2CBF"/>
    <w:rsid w:val="00D72B6C"/>
    <w:rsid w:val="00DC7170"/>
    <w:rsid w:val="00E27DF3"/>
    <w:rsid w:val="00E62479"/>
    <w:rsid w:val="00E70CFC"/>
    <w:rsid w:val="00E83793"/>
    <w:rsid w:val="00F87890"/>
    <w:rsid w:val="00FC52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4C1B"/>
  <w15:chartTrackingRefBased/>
  <w15:docId w15:val="{D340976E-BCB4-4F93-A2CA-FA734846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D60"/>
    <w:pPr>
      <w:spacing w:after="0" w:line="240" w:lineRule="auto"/>
    </w:pPr>
    <w:rPr>
      <w:rFonts w:ascii="Times New Roman" w:eastAsia="MS Mincho" w:hAnsi="Times New Roman" w:cs="Times New Roman"/>
      <w:sz w:val="24"/>
      <w:szCs w:val="24"/>
      <w:lang w:eastAsia="es-ES"/>
    </w:rPr>
  </w:style>
  <w:style w:type="paragraph" w:styleId="Ttulo1">
    <w:name w:val="heading 1"/>
    <w:basedOn w:val="Normal"/>
    <w:next w:val="Normal"/>
    <w:link w:val="Ttulo1Car"/>
    <w:uiPriority w:val="9"/>
    <w:qFormat/>
    <w:rsid w:val="00E83793"/>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qFormat/>
    <w:rsid w:val="00A40D60"/>
    <w:pPr>
      <w:keepNext/>
      <w:jc w:val="both"/>
      <w:outlineLvl w:val="1"/>
    </w:pPr>
    <w:rPr>
      <w:rFonts w:ascii="Arial" w:hAnsi="Arial"/>
      <w:b/>
      <w:bCs/>
      <w:i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40D60"/>
    <w:rPr>
      <w:rFonts w:ascii="Arial" w:eastAsia="MS Mincho" w:hAnsi="Arial" w:cs="Times New Roman"/>
      <w:b/>
      <w:bCs/>
      <w:iCs/>
      <w:szCs w:val="24"/>
      <w:lang w:val="es-ES_tradnl" w:eastAsia="es-ES"/>
    </w:rPr>
  </w:style>
  <w:style w:type="paragraph" w:styleId="Sangradetextonormal">
    <w:name w:val="Body Text Indent"/>
    <w:basedOn w:val="Normal"/>
    <w:link w:val="SangradetextonormalCar"/>
    <w:rsid w:val="00A40D60"/>
    <w:pPr>
      <w:spacing w:after="120"/>
      <w:ind w:left="283"/>
    </w:pPr>
  </w:style>
  <w:style w:type="character" w:customStyle="1" w:styleId="SangradetextonormalCar">
    <w:name w:val="Sangría de texto normal Car"/>
    <w:basedOn w:val="Fuentedeprrafopredeter"/>
    <w:link w:val="Sangradetextonormal"/>
    <w:rsid w:val="00A40D60"/>
    <w:rPr>
      <w:rFonts w:ascii="Times New Roman" w:eastAsia="MS Mincho" w:hAnsi="Times New Roman" w:cs="Times New Roman"/>
      <w:sz w:val="24"/>
      <w:szCs w:val="24"/>
      <w:lang w:eastAsia="es-ES"/>
    </w:rPr>
  </w:style>
  <w:style w:type="paragraph" w:styleId="Encabezado">
    <w:name w:val="header"/>
    <w:basedOn w:val="Normal"/>
    <w:link w:val="EncabezadoCar"/>
    <w:uiPriority w:val="99"/>
    <w:unhideWhenUsed/>
    <w:rsid w:val="00A40D60"/>
    <w:pPr>
      <w:tabs>
        <w:tab w:val="center" w:pos="4419"/>
        <w:tab w:val="right" w:pos="8838"/>
      </w:tabs>
    </w:pPr>
  </w:style>
  <w:style w:type="character" w:customStyle="1" w:styleId="EncabezadoCar">
    <w:name w:val="Encabezado Car"/>
    <w:basedOn w:val="Fuentedeprrafopredeter"/>
    <w:link w:val="Encabezado"/>
    <w:uiPriority w:val="99"/>
    <w:rsid w:val="00A40D60"/>
    <w:rPr>
      <w:rFonts w:ascii="Times New Roman" w:eastAsia="MS Mincho" w:hAnsi="Times New Roman" w:cs="Times New Roman"/>
      <w:sz w:val="24"/>
      <w:szCs w:val="24"/>
      <w:lang w:eastAsia="es-ES"/>
    </w:rPr>
  </w:style>
  <w:style w:type="paragraph" w:styleId="Piedepgina">
    <w:name w:val="footer"/>
    <w:basedOn w:val="Normal"/>
    <w:link w:val="PiedepginaCar"/>
    <w:uiPriority w:val="99"/>
    <w:unhideWhenUsed/>
    <w:rsid w:val="00A40D60"/>
    <w:pPr>
      <w:tabs>
        <w:tab w:val="center" w:pos="4419"/>
        <w:tab w:val="right" w:pos="8838"/>
      </w:tabs>
    </w:pPr>
  </w:style>
  <w:style w:type="character" w:customStyle="1" w:styleId="PiedepginaCar">
    <w:name w:val="Pie de página Car"/>
    <w:basedOn w:val="Fuentedeprrafopredeter"/>
    <w:link w:val="Piedepgina"/>
    <w:uiPriority w:val="99"/>
    <w:rsid w:val="00A40D60"/>
    <w:rPr>
      <w:rFonts w:ascii="Times New Roman" w:eastAsia="MS Mincho" w:hAnsi="Times New Roman" w:cs="Times New Roman"/>
      <w:sz w:val="24"/>
      <w:szCs w:val="24"/>
      <w:lang w:eastAsia="es-ES"/>
    </w:rPr>
  </w:style>
  <w:style w:type="paragraph" w:customStyle="1" w:styleId="Default">
    <w:name w:val="Default"/>
    <w:rsid w:val="007C65D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Párrafo de Informe de Auditoría"/>
    <w:basedOn w:val="Normal"/>
    <w:link w:val="PrrafodelistaCar"/>
    <w:uiPriority w:val="34"/>
    <w:qFormat/>
    <w:rsid w:val="007C65D0"/>
    <w:pPr>
      <w:spacing w:after="200" w:line="276" w:lineRule="auto"/>
      <w:ind w:left="720"/>
      <w:contextualSpacing/>
    </w:pPr>
    <w:rPr>
      <w:rFonts w:asciiTheme="minorHAnsi" w:eastAsiaTheme="minorHAnsi" w:hAnsiTheme="minorHAnsi" w:cstheme="minorBidi"/>
      <w:sz w:val="22"/>
      <w:szCs w:val="22"/>
      <w:lang w:val="es-ES" w:eastAsia="en-US"/>
    </w:rPr>
  </w:style>
  <w:style w:type="character" w:customStyle="1" w:styleId="PrrafodelistaCar">
    <w:name w:val="Párrafo de lista Car"/>
    <w:aliases w:val="Párrafo de Informe de Auditoría Car"/>
    <w:link w:val="Prrafodelista"/>
    <w:uiPriority w:val="34"/>
    <w:rsid w:val="007C65D0"/>
    <w:rPr>
      <w:lang w:val="es-ES"/>
    </w:rPr>
  </w:style>
  <w:style w:type="character" w:customStyle="1" w:styleId="Ttulo1Car">
    <w:name w:val="Título 1 Car"/>
    <w:basedOn w:val="Fuentedeprrafopredeter"/>
    <w:link w:val="Ttulo1"/>
    <w:uiPriority w:val="9"/>
    <w:rsid w:val="00E837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Villalobos Astúa</dc:creator>
  <cp:keywords/>
  <dc:description/>
  <cp:lastModifiedBy>Flory Villalobos</cp:lastModifiedBy>
  <cp:revision>3</cp:revision>
  <cp:lastPrinted>2019-12-10T19:20:00Z</cp:lastPrinted>
  <dcterms:created xsi:type="dcterms:W3CDTF">2020-12-21T14:15:00Z</dcterms:created>
  <dcterms:modified xsi:type="dcterms:W3CDTF">2020-12-21T14:19:00Z</dcterms:modified>
</cp:coreProperties>
</file>